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Display" w:hAnsi="Aptos Display"/>
          <w:b/>
          <w:sz w:val="40"/>
        </w:rPr>
        <w:t>INFORMACE O SOUBORECH COOKIES</w:t>
      </w:r>
    </w:p>
    <w:p>
      <w:pPr>
        <w:spacing w:after="40"/>
        <w:jc w:val="center"/>
      </w:pPr>
      <w:r>
        <w:rPr>
          <w:rFonts w:ascii="Aptos Display" w:hAnsi="Aptos Display"/>
          <w:b/>
          <w:sz w:val="30"/>
        </w:rPr>
        <w:t>A OBDOBNÝCH TECHNOLOGIÍCH</w:t>
      </w:r>
    </w:p>
    <w:p>
      <w:pPr>
        <w:spacing w:after="160"/>
        <w:jc w:val="center"/>
      </w:pPr>
      <w:r>
        <w:rPr>
          <w:rFonts w:ascii="Aptos" w:hAnsi="Aptos"/>
        </w:rPr>
        <w:t>Nakladatelství Leon / Josef Pačes  •  www.leon.cz  •  verze 1.1  •  účinnost od 31. 8. 2026</w:t>
      </w:r>
    </w:p>
    <w:tbl>
      <w:tblPr>
        <w:tblW w:type="auto" w:w="0"/>
        <w:jc w:val="center"/>
        <w:tblLayout w:type="fixed"/>
        <w:tblLook w:firstColumn="1" w:firstRow="1" w:lastColumn="0" w:lastRow="0" w:noHBand="0" w:noVBand="1" w:val="04A0"/>
      </w:tblPr>
      <w:tblGrid>
        <w:gridCol w:w="2232"/>
        <w:gridCol w:w="7488"/>
      </w:tblGrid>
      <w:tr>
        <w:tc>
          <w:tcPr>
            <w:tcW w:type="dxa" w:w="5083"/>
            <w:vAlign w:val="center"/>
            <w:tcMar>
              <w:top w:w="100" w:type="dxa"/>
              <w:start w:w="120" w:type="dxa"/>
              <w:bottom w:w="100" w:type="dxa"/>
              <w:end w:w="120" w:type="dxa"/>
            </w:tcMar>
            <w:shd w:fill="EAECEF"/>
          </w:tcPr>
          <w:p>
            <w:r>
              <w:t>Správce</w:t>
            </w:r>
          </w:p>
        </w:tc>
        <w:tc>
          <w:tcPr>
            <w:tcW w:type="dxa" w:w="5083"/>
            <w:vAlign w:val="center"/>
            <w:tcMar>
              <w:top w:w="100" w:type="dxa"/>
              <w:start w:w="120" w:type="dxa"/>
              <w:bottom w:w="100" w:type="dxa"/>
              <w:end w:w="120" w:type="dxa"/>
            </w:tcMar>
          </w:tcPr>
          <w:p>
            <w:r>
              <w:t>Josef Pačes</w:t>
            </w:r>
          </w:p>
        </w:tc>
      </w:tr>
      <w:tr>
        <w:tc>
          <w:tcPr>
            <w:tcW w:type="dxa" w:w="5083"/>
            <w:vAlign w:val="center"/>
            <w:tcMar>
              <w:top w:w="100" w:type="dxa"/>
              <w:start w:w="120" w:type="dxa"/>
              <w:bottom w:w="100" w:type="dxa"/>
              <w:end w:w="120" w:type="dxa"/>
            </w:tcMar>
            <w:shd w:fill="EAECEF"/>
          </w:tcPr>
          <w:p>
            <w:r>
              <w:t>Obchodní značka / e-shop</w:t>
            </w:r>
          </w:p>
        </w:tc>
        <w:tc>
          <w:tcPr>
            <w:tcW w:type="dxa" w:w="5083"/>
            <w:vAlign w:val="center"/>
            <w:tcMar>
              <w:top w:w="100" w:type="dxa"/>
              <w:start w:w="120" w:type="dxa"/>
              <w:bottom w:w="100" w:type="dxa"/>
              <w:end w:w="120" w:type="dxa"/>
            </w:tcMar>
          </w:tcPr>
          <w:p>
            <w:r>
              <w:t>Nakladatelství Leon / Leon.cz</w:t>
            </w:r>
          </w:p>
        </w:tc>
      </w:tr>
      <w:tr>
        <w:tc>
          <w:tcPr>
            <w:tcW w:type="dxa" w:w="5083"/>
            <w:vAlign w:val="center"/>
            <w:tcMar>
              <w:top w:w="100" w:type="dxa"/>
              <w:start w:w="120" w:type="dxa"/>
              <w:bottom w:w="100" w:type="dxa"/>
              <w:end w:w="120" w:type="dxa"/>
            </w:tcMar>
            <w:shd w:fill="EAECEF"/>
          </w:tcPr>
          <w:p>
            <w:r>
              <w:t>Právní forma</w:t>
            </w:r>
          </w:p>
        </w:tc>
        <w:tc>
          <w:tcPr>
            <w:tcW w:type="dxa" w:w="5083"/>
            <w:vAlign w:val="center"/>
            <w:tcMar>
              <w:top w:w="100" w:type="dxa"/>
              <w:start w:w="120" w:type="dxa"/>
              <w:bottom w:w="100" w:type="dxa"/>
              <w:end w:w="120" w:type="dxa"/>
            </w:tcMar>
          </w:tcPr>
          <w:p>
            <w:r>
              <w:t>fyzická osoba podnikající</w:t>
            </w:r>
          </w:p>
        </w:tc>
      </w:tr>
      <w:tr>
        <w:tc>
          <w:tcPr>
            <w:tcW w:type="dxa" w:w="5083"/>
            <w:vAlign w:val="center"/>
            <w:tcMar>
              <w:top w:w="100" w:type="dxa"/>
              <w:start w:w="120" w:type="dxa"/>
              <w:bottom w:w="100" w:type="dxa"/>
              <w:end w:w="120" w:type="dxa"/>
            </w:tcMar>
            <w:shd w:fill="EAECEF"/>
          </w:tcPr>
          <w:p>
            <w:r>
              <w:t>Sídlo / adresa</w:t>
            </w:r>
          </w:p>
        </w:tc>
        <w:tc>
          <w:tcPr>
            <w:tcW w:type="dxa" w:w="5083"/>
            <w:vAlign w:val="center"/>
            <w:tcMar>
              <w:top w:w="100" w:type="dxa"/>
              <w:start w:w="120" w:type="dxa"/>
              <w:bottom w:w="100" w:type="dxa"/>
              <w:end w:w="120" w:type="dxa"/>
            </w:tcMar>
          </w:tcPr>
          <w:p>
            <w:r>
              <w:t>Hrdličkova 2176/4, Chodov, 148 00 Praha 4</w:t>
            </w:r>
          </w:p>
        </w:tc>
      </w:tr>
      <w:tr>
        <w:tc>
          <w:tcPr>
            <w:tcW w:type="dxa" w:w="5083"/>
            <w:vAlign w:val="center"/>
            <w:tcMar>
              <w:top w:w="100" w:type="dxa"/>
              <w:start w:w="120" w:type="dxa"/>
              <w:bottom w:w="100" w:type="dxa"/>
              <w:end w:w="120" w:type="dxa"/>
            </w:tcMar>
            <w:shd w:fill="EAECEF"/>
          </w:tcPr>
          <w:p>
            <w:r>
              <w:t>IČO</w:t>
            </w:r>
          </w:p>
        </w:tc>
        <w:tc>
          <w:tcPr>
            <w:tcW w:type="dxa" w:w="5083"/>
            <w:vAlign w:val="center"/>
            <w:tcMar>
              <w:top w:w="100" w:type="dxa"/>
              <w:start w:w="120" w:type="dxa"/>
              <w:bottom w:w="100" w:type="dxa"/>
              <w:end w:w="120" w:type="dxa"/>
            </w:tcMar>
          </w:tcPr>
          <w:p>
            <w:r>
              <w:t>16890124</w:t>
            </w:r>
          </w:p>
        </w:tc>
      </w:tr>
      <w:tr>
        <w:tc>
          <w:tcPr>
            <w:tcW w:type="dxa" w:w="5083"/>
            <w:vAlign w:val="center"/>
            <w:tcMar>
              <w:top w:w="100" w:type="dxa"/>
              <w:start w:w="120" w:type="dxa"/>
              <w:bottom w:w="100" w:type="dxa"/>
              <w:end w:w="120" w:type="dxa"/>
            </w:tcMar>
            <w:shd w:fill="EAECEF"/>
          </w:tcPr>
          <w:p>
            <w:r>
              <w:t>DPH / DIČ</w:t>
            </w:r>
          </w:p>
        </w:tc>
        <w:tc>
          <w:tcPr>
            <w:tcW w:type="dxa" w:w="5083"/>
            <w:vAlign w:val="center"/>
            <w:tcMar>
              <w:top w:w="100" w:type="dxa"/>
              <w:start w:w="120" w:type="dxa"/>
              <w:bottom w:w="100" w:type="dxa"/>
              <w:end w:w="120" w:type="dxa"/>
            </w:tcMar>
          </w:tcPr>
          <w:p>
            <w:r>
              <w:t>plátce DPH; DIČ CZ5403041182</w:t>
            </w:r>
          </w:p>
        </w:tc>
      </w:tr>
      <w:tr>
        <w:tc>
          <w:tcPr>
            <w:tcW w:type="dxa" w:w="5083"/>
            <w:vAlign w:val="center"/>
            <w:tcMar>
              <w:top w:w="100" w:type="dxa"/>
              <w:start w:w="120" w:type="dxa"/>
              <w:bottom w:w="100" w:type="dxa"/>
              <w:end w:w="120" w:type="dxa"/>
            </w:tcMar>
            <w:shd w:fill="EAECEF"/>
          </w:tcPr>
          <w:p>
            <w:r>
              <w:t>Evidence</w:t>
            </w:r>
          </w:p>
        </w:tc>
        <w:tc>
          <w:tcPr>
            <w:tcW w:type="dxa" w:w="5083"/>
            <w:vAlign w:val="center"/>
            <w:tcMar>
              <w:top w:w="100" w:type="dxa"/>
              <w:start w:w="120" w:type="dxa"/>
              <w:bottom w:w="100" w:type="dxa"/>
              <w:end w:w="120" w:type="dxa"/>
            </w:tcMar>
          </w:tcPr>
          <w:p>
            <w:r>
              <w:t>podnikatel podle živnostenského zákona</w:t>
            </w:r>
          </w:p>
        </w:tc>
      </w:tr>
      <w:tr>
        <w:tc>
          <w:tcPr>
            <w:tcW w:type="dxa" w:w="5083"/>
            <w:vAlign w:val="center"/>
            <w:tcMar>
              <w:top w:w="100" w:type="dxa"/>
              <w:start w:w="120" w:type="dxa"/>
              <w:bottom w:w="100" w:type="dxa"/>
              <w:end w:w="120" w:type="dxa"/>
            </w:tcMar>
            <w:shd w:fill="EAECEF"/>
          </w:tcPr>
          <w:p>
            <w:r>
              <w:t>E-mail</w:t>
            </w:r>
          </w:p>
        </w:tc>
        <w:tc>
          <w:tcPr>
            <w:tcW w:type="dxa" w:w="5083"/>
            <w:vAlign w:val="center"/>
            <w:tcMar>
              <w:top w:w="100" w:type="dxa"/>
              <w:start w:w="120" w:type="dxa"/>
              <w:bottom w:w="100" w:type="dxa"/>
              <w:end w:w="120" w:type="dxa"/>
            </w:tcMar>
          </w:tcPr>
          <w:p>
            <w:r>
              <w:t>obchod@leon.cz</w:t>
            </w:r>
          </w:p>
        </w:tc>
      </w:tr>
      <w:tr>
        <w:tc>
          <w:tcPr>
            <w:tcW w:type="dxa" w:w="5083"/>
            <w:vAlign w:val="center"/>
            <w:tcMar>
              <w:top w:w="100" w:type="dxa"/>
              <w:start w:w="120" w:type="dxa"/>
              <w:bottom w:w="100" w:type="dxa"/>
              <w:end w:w="120" w:type="dxa"/>
            </w:tcMar>
            <w:shd w:fill="EAECEF"/>
          </w:tcPr>
          <w:p>
            <w:r>
              <w:t>Telefon</w:t>
            </w:r>
          </w:p>
        </w:tc>
        <w:tc>
          <w:tcPr>
            <w:tcW w:type="dxa" w:w="5083"/>
            <w:vAlign w:val="center"/>
            <w:tcMar>
              <w:top w:w="100" w:type="dxa"/>
              <w:start w:w="120" w:type="dxa"/>
              <w:bottom w:w="100" w:type="dxa"/>
              <w:end w:w="120" w:type="dxa"/>
            </w:tcMar>
          </w:tcPr>
          <w:p>
            <w:r>
              <w:t>+420 267 914 994; +420 602 212 601</w:t>
            </w:r>
          </w:p>
        </w:tc>
      </w:tr>
      <w:tr>
        <w:tc>
          <w:tcPr>
            <w:tcW w:type="dxa" w:w="5083"/>
            <w:vAlign w:val="center"/>
            <w:tcMar>
              <w:top w:w="100" w:type="dxa"/>
              <w:start w:w="120" w:type="dxa"/>
              <w:bottom w:w="100" w:type="dxa"/>
              <w:end w:w="120" w:type="dxa"/>
            </w:tcMar>
            <w:shd w:fill="EAECEF"/>
          </w:tcPr>
          <w:p>
            <w:r>
              <w:t>Webové stránky</w:t>
            </w:r>
          </w:p>
        </w:tc>
        <w:tc>
          <w:tcPr>
            <w:tcW w:type="dxa" w:w="5083"/>
            <w:vAlign w:val="center"/>
            <w:tcMar>
              <w:top w:w="100" w:type="dxa"/>
              <w:start w:w="120" w:type="dxa"/>
              <w:bottom w:w="100" w:type="dxa"/>
              <w:end w:w="120" w:type="dxa"/>
            </w:tcMar>
          </w:tcPr>
          <w:p>
            <w:r>
              <w:t>www.leon.cz</w:t>
            </w:r>
          </w:p>
        </w:tc>
      </w:tr>
    </w:tbl>
    <w:p>
      <w:pPr>
        <w:spacing w:after="80" w:line="250" w:lineRule="auto"/>
      </w:pPr>
    </w:p>
    <w:p>
      <w:pPr>
        <w:pStyle w:val="Heading1"/>
        <w:keepNext/>
        <w:spacing w:before="140" w:after="60"/>
      </w:pPr>
      <w:r>
        <w:rPr>
          <w:rFonts w:ascii="Aptos" w:hAnsi="Aptos"/>
          <w:b/>
          <w:sz w:val="25"/>
        </w:rPr>
        <w:t>1. ÚČEL A ROZSAH TĚCHTO INFORMACÍ</w:t>
      </w:r>
    </w:p>
    <w:p>
      <w:pPr>
        <w:keepLines w:val="0"/>
        <w:spacing w:after="80" w:line="250" w:lineRule="auto"/>
      </w:pPr>
      <w:r>
        <w:rPr>
          <w:rFonts w:ascii="Aptos" w:hAnsi="Aptos"/>
        </w:rPr>
        <w:t>1.1 Tento dokument vysvětluje, jak Josef Pačes jako fyzická osoba podnikající a provozovatel internetového obchodu www.leon.cz používá soubory cookies a jiné technologie ukládající informace do koncového zařízení návštěvníka nebo z něj informace získávající. E-shop je provozován na platformě Eshop-rychle. Dokument se vztahuje zejména na cookies, lokální a relační úložiště, identifikátory, pixely, značky, skripty a obdobné technologie (společně dále jen „cookies“).</w:t>
      </w:r>
    </w:p>
    <w:p>
      <w:pPr>
        <w:keepLines w:val="0"/>
        <w:spacing w:after="80" w:line="250" w:lineRule="auto"/>
      </w:pPr>
      <w:r>
        <w:rPr>
          <w:rFonts w:ascii="Aptos" w:hAnsi="Aptos"/>
          <w:sz w:val="20"/>
        </w:rPr>
        <w:t>1.2 Použití cookies může být spojeno se zpracováním osobních údajů, zejména online identifikátorů, IP adresy, údajů o zařízení a prohlížeči, času návštěvy, zdroje návštěvy, interakcí s webem, nastavení souhlasu a údajů o nákupním procesu. Rozsah zpracování závisí na konkrétně používaných technologiích a na volbě návštěvníka v nastavení cookies.</w:t>
      </w:r>
    </w:p>
    <w:p>
      <w:pPr>
        <w:keepLines w:val="0"/>
        <w:spacing w:after="80" w:line="250" w:lineRule="auto"/>
      </w:pPr>
      <w:r>
        <w:rPr>
          <w:rFonts w:ascii="Aptos" w:hAnsi="Aptos"/>
        </w:rPr>
        <w:t>1.3 Aktuální registr skutečně používaných cookies a obdobných technologií je návštěvníkovi dostupný prostřednictvím rozhraní pro správu cookies na www.leon.cz, zejména prostřednictvím prvku „Nastavení cookies“ nebo „Upravit nastavení cookies“. Registr uvádí u jednotlivých technologií zejména název, poskytovatele nebo doménu, kategorii, účel, dobu uložení nebo expirace a informaci, zda je vyžadován souhlas; jsou-li zpracovávány osobní údaje, také další údaje uvedené v tomto dokumentu. Tento dokument popisuje obecná pravidla a právní rámec používání cookies; registr musí vždy odpovídat aktuálnímu technickému stavu webu.</w:t>
      </w:r>
    </w:p>
    <w:p>
      <w:pPr>
        <w:pStyle w:val="Heading1"/>
        <w:keepNext/>
        <w:spacing w:before="140" w:after="60"/>
      </w:pPr>
      <w:r>
        <w:rPr>
          <w:rFonts w:ascii="Aptos" w:hAnsi="Aptos"/>
          <w:b/>
          <w:sz w:val="25"/>
        </w:rPr>
        <w:t>2. PRÁVNÍ RÁMEC A ZÁKLADNÍ PRAVIDLA</w:t>
      </w:r>
    </w:p>
    <w:p>
      <w:pPr>
        <w:keepLines w:val="0"/>
        <w:spacing w:after="80" w:line="250" w:lineRule="auto"/>
      </w:pPr>
      <w:r>
        <w:rPr>
          <w:rFonts w:ascii="Aptos" w:hAnsi="Aptos"/>
          <w:sz w:val="20"/>
        </w:rPr>
        <w:t>2.1 Ukládání informací do koncového zařízení nebo získávání přístupu k informacím v něm uloženým se řídí zejména § 89 odst. 3 zákona č. 127/2005 Sb., o elektronických komunikacích, ve znění pozdějších předpisů. Není-li splněna zákonná výjimka pro technické ukládání nebo přístup, je nutný předchozí prokazatelný souhlas uživatele s rozsahem a účelem použití cookies.</w:t>
      </w:r>
    </w:p>
    <w:p>
      <w:pPr>
        <w:keepLines w:val="0"/>
        <w:spacing w:after="80" w:line="250" w:lineRule="auto"/>
      </w:pPr>
      <w:r>
        <w:rPr>
          <w:rFonts w:ascii="Aptos" w:hAnsi="Aptos"/>
          <w:sz w:val="20"/>
        </w:rPr>
        <w:t>2.2 Je-li prostřednictvím cookies zpracováván osobní údaj, vztahuje se na následné zpracování také nařízení Evropského parlamentu a Rady (EU) 2016/679 (GDPR), zákon č. 110/2019 Sb., o zpracování osobních údajů, a další použitelné právní předpisy.</w:t>
      </w:r>
    </w:p>
    <w:p>
      <w:pPr>
        <w:keepLines w:val="0"/>
        <w:spacing w:after="80" w:line="250" w:lineRule="auto"/>
      </w:pPr>
      <w:r>
        <w:rPr>
          <w:rFonts w:ascii="Aptos" w:hAnsi="Aptos"/>
          <w:sz w:val="20"/>
        </w:rPr>
        <w:t>2.3 Nezbytné cookies lze používat bez souhlasu pouze v rozsahu nutném pro přenos zprávy prostřednictvím sítě elektronických komunikací nebo pro poskytnutí služby informační společnosti, kterou uživatel výslovně požadoval. Tato výjimka nesmí být rozšiřována na analytiku, personalizaci, marketing ani jiné volitelné účely.</w:t>
      </w:r>
    </w:p>
    <w:p>
      <w:pPr>
        <w:keepLines w:val="0"/>
        <w:spacing w:after="80" w:line="250" w:lineRule="auto"/>
      </w:pPr>
      <w:r>
        <w:rPr>
          <w:rFonts w:ascii="Aptos" w:hAnsi="Aptos"/>
          <w:sz w:val="20"/>
        </w:rPr>
        <w:t>2.4 Všechny cookies, které nejsou nezbytné ve smyslu předchozího odstavce, se aktivují až po předchozím aktivním souhlasu návštěvníka. Nečinnost, pouhé pokračování v prohlížení webu, zavření lišty ani předem zaškrtnuté volby nejsou souhlasem.</w:t>
      </w:r>
    </w:p>
    <w:p>
      <w:pPr/>
      <w:r>
        <w:rPr>
          <w:rFonts w:ascii="Aptos" w:hAnsi="Aptos"/>
          <w:sz w:val="20"/>
        </w:rPr>
        <w:t>2.5 Odmítnutí nepovinných cookies nesmí bránit běžnému nákupu ani přístupu k základnímu obsahu webu. Zavře-li návštěvník cookie lištu bez provedení volby, nepovinné technologie se neaktivují.</w:t>
      </w:r>
    </w:p>
    <w:p>
      <w:pPr>
        <w:pStyle w:val="Heading1"/>
        <w:keepNext/>
        <w:spacing w:before="140" w:after="60"/>
      </w:pPr>
      <w:r>
        <w:rPr>
          <w:rFonts w:ascii="Aptos" w:hAnsi="Aptos"/>
          <w:b/>
          <w:sz w:val="25"/>
        </w:rPr>
        <w:t>3. KATEGORIE COOKIES</w:t>
      </w:r>
    </w:p>
    <w:p>
      <w:pPr>
        <w:keepLines w:val="0"/>
        <w:spacing w:after="80" w:line="250" w:lineRule="auto"/>
      </w:pPr>
      <w:r>
        <w:rPr>
          <w:rFonts w:ascii="Aptos" w:hAnsi="Aptos"/>
          <w:sz w:val="20"/>
        </w:rPr>
        <w:t>Cookies a obdobné technologie jsou zařazovány podle svého skutečného účelu. Skutečnost, zda jde o technologii první nebo třetí strany, není sama o sobě samostatnou účelovou kategorií.</w:t>
      </w:r>
    </w:p>
    <w:tbl>
      <w:tblPr>
        <w:tblW w:type="auto" w:w="0"/>
        <w:jc w:val="center"/>
        <w:tblLayout w:type="fixed"/>
        <w:tblLook w:firstColumn="1" w:firstRow="1" w:lastColumn="0" w:lastRow="0" w:noHBand="0" w:noVBand="1" w:val="04A0"/>
      </w:tblPr>
      <w:tblGrid>
        <w:gridCol w:w="2088"/>
        <w:gridCol w:w="5616"/>
        <w:gridCol w:w="2088"/>
      </w:tblGrid>
      <w:tr>
        <w:trPr>
          <w:tblHeader w:val="true"/>
        </w:trPr>
        <w:tc>
          <w:tcPr>
            <w:tcW w:type="dxa" w:w="3389"/>
            <w:vAlign w:val="center"/>
            <w:tcMar>
              <w:top w:w="100" w:type="dxa"/>
              <w:start w:w="120" w:type="dxa"/>
              <w:bottom w:w="100" w:type="dxa"/>
              <w:end w:w="120" w:type="dxa"/>
            </w:tcMar>
            <w:shd w:fill="D9DEE5"/>
          </w:tcPr>
          <w:p>
            <w:pPr>
              <w:spacing w:after="0" w:line="240" w:lineRule="auto"/>
            </w:pPr>
            <w:r>
              <w:rPr>
                <w:rFonts w:ascii="Aptos" w:hAnsi="Aptos"/>
                <w:b/>
                <w:sz w:val="18"/>
              </w:rPr>
              <w:t>Kategorie</w:t>
            </w:r>
          </w:p>
        </w:tc>
        <w:tc>
          <w:tcPr>
            <w:tcW w:type="dxa" w:w="3389"/>
            <w:vAlign w:val="center"/>
            <w:tcMar>
              <w:top w:w="100" w:type="dxa"/>
              <w:start w:w="120" w:type="dxa"/>
              <w:bottom w:w="100" w:type="dxa"/>
              <w:end w:w="120" w:type="dxa"/>
            </w:tcMar>
            <w:shd w:fill="D9DEE5"/>
          </w:tcPr>
          <w:p>
            <w:pPr>
              <w:spacing w:after="0" w:line="240" w:lineRule="auto"/>
            </w:pPr>
            <w:r>
              <w:rPr>
                <w:rFonts w:ascii="Aptos" w:hAnsi="Aptos"/>
                <w:b/>
                <w:sz w:val="18"/>
              </w:rPr>
              <w:t>Typické účely</w:t>
            </w:r>
          </w:p>
        </w:tc>
        <w:tc>
          <w:tcPr>
            <w:tcW w:type="dxa" w:w="3389"/>
            <w:vAlign w:val="center"/>
            <w:tcMar>
              <w:top w:w="100" w:type="dxa"/>
              <w:start w:w="120" w:type="dxa"/>
              <w:bottom w:w="100" w:type="dxa"/>
              <w:end w:w="120" w:type="dxa"/>
            </w:tcMar>
            <w:shd w:fill="D9DEE5"/>
          </w:tcPr>
          <w:p>
            <w:pPr>
              <w:spacing w:after="0" w:line="240" w:lineRule="auto"/>
            </w:pPr>
            <w:r>
              <w:rPr>
                <w:rFonts w:ascii="Aptos" w:hAnsi="Aptos"/>
                <w:b/>
                <w:sz w:val="18"/>
              </w:rPr>
              <w:t>Souhlas</w:t>
            </w:r>
          </w:p>
        </w:tc>
      </w:tr>
      <w:tr>
        <w:tc>
          <w:tcPr>
            <w:tcW w:type="dxa" w:w="3389"/>
            <w:vAlign w:val="center"/>
            <w:tcMar>
              <w:top w:w="100" w:type="dxa"/>
              <w:start w:w="120" w:type="dxa"/>
              <w:bottom w:w="100" w:type="dxa"/>
              <w:end w:w="120" w:type="dxa"/>
            </w:tcMar>
          </w:tcPr>
          <w:p>
            <w:pPr>
              <w:spacing w:after="0" w:line="240" w:lineRule="auto"/>
            </w:pPr>
            <w:r>
              <w:rPr>
                <w:rFonts w:ascii="Aptos" w:hAnsi="Aptos"/>
                <w:b w:val="0"/>
                <w:sz w:val="18"/>
              </w:rPr>
              <w:t>Nezbytné / technické</w:t>
            </w:r>
          </w:p>
        </w:tc>
        <w:tc>
          <w:tcPr>
            <w:tcW w:type="dxa" w:w="3389"/>
            <w:vAlign w:val="center"/>
            <w:tcMar>
              <w:top w:w="100" w:type="dxa"/>
              <w:start w:w="120" w:type="dxa"/>
              <w:bottom w:w="100" w:type="dxa"/>
              <w:end w:w="120" w:type="dxa"/>
            </w:tcMar>
          </w:tcPr>
          <w:p>
            <w:pPr>
              <w:spacing w:after="0" w:line="240" w:lineRule="auto"/>
            </w:pPr>
            <w:r>
              <w:rPr>
                <w:rFonts w:ascii="Aptos" w:hAnsi="Aptos"/>
                <w:b w:val="0"/>
                <w:sz w:val="18"/>
              </w:rPr>
              <w:t>Zabezpečení, přenos komunikace, košík, přihlášení, průchod objednávkou, uložení volby cookies, ochrana proti zneužití a další funkce výslovně požadované uživatelem.</w:t>
            </w:r>
          </w:p>
        </w:tc>
        <w:tc>
          <w:tcPr>
            <w:tcW w:type="dxa" w:w="3389"/>
            <w:vAlign w:val="center"/>
            <w:tcMar>
              <w:top w:w="100" w:type="dxa"/>
              <w:start w:w="120" w:type="dxa"/>
              <w:bottom w:w="100" w:type="dxa"/>
              <w:end w:w="120" w:type="dxa"/>
            </w:tcMar>
          </w:tcPr>
          <w:p>
            <w:pPr>
              <w:spacing w:after="0" w:line="240" w:lineRule="auto"/>
            </w:pPr>
            <w:r>
              <w:rPr>
                <w:rFonts w:ascii="Aptos" w:hAnsi="Aptos"/>
                <w:b w:val="0"/>
                <w:sz w:val="18"/>
              </w:rPr>
              <w:t>Ne – pouze v rozsahu zákonné výjimky pro nezbytné použití.</w:t>
            </w:r>
          </w:p>
        </w:tc>
      </w:tr>
      <w:tr>
        <w:tc>
          <w:tcPr>
            <w:tcW w:type="dxa" w:w="3389"/>
            <w:vAlign w:val="center"/>
            <w:tcMar>
              <w:top w:w="100" w:type="dxa"/>
              <w:start w:w="120" w:type="dxa"/>
              <w:bottom w:w="100" w:type="dxa"/>
              <w:end w:w="120" w:type="dxa"/>
            </w:tcMar>
          </w:tcPr>
          <w:p>
            <w:pPr>
              <w:spacing w:after="0" w:line="240" w:lineRule="auto"/>
            </w:pPr>
            <w:r>
              <w:rPr>
                <w:rFonts w:ascii="Aptos" w:hAnsi="Aptos"/>
                <w:b w:val="0"/>
                <w:sz w:val="18"/>
              </w:rPr>
              <w:t>Funkční / preferenční</w:t>
            </w:r>
          </w:p>
        </w:tc>
        <w:tc>
          <w:tcPr>
            <w:tcW w:type="dxa" w:w="3389"/>
            <w:vAlign w:val="center"/>
            <w:tcMar>
              <w:top w:w="100" w:type="dxa"/>
              <w:start w:w="120" w:type="dxa"/>
              <w:bottom w:w="100" w:type="dxa"/>
              <w:end w:w="120" w:type="dxa"/>
            </w:tcMar>
          </w:tcPr>
          <w:p>
            <w:pPr>
              <w:spacing w:after="0" w:line="240" w:lineRule="auto"/>
            </w:pPr>
            <w:r>
              <w:rPr>
                <w:rFonts w:ascii="Aptos" w:hAnsi="Aptos"/>
                <w:b w:val="0"/>
                <w:sz w:val="18"/>
              </w:rPr>
              <w:t>Zapamatování volitelného nastavení, preferencí a doplňkových funkcí nebo personalizace rozhraní.</w:t>
            </w:r>
          </w:p>
        </w:tc>
        <w:tc>
          <w:tcPr>
            <w:tcW w:type="dxa" w:w="3389"/>
            <w:vAlign w:val="center"/>
            <w:tcMar>
              <w:top w:w="100" w:type="dxa"/>
              <w:start w:w="120" w:type="dxa"/>
              <w:bottom w:w="100" w:type="dxa"/>
              <w:end w:w="120" w:type="dxa"/>
            </w:tcMar>
          </w:tcPr>
          <w:p>
            <w:pPr>
              <w:spacing w:after="0" w:line="240" w:lineRule="auto"/>
            </w:pPr>
            <w:r>
              <w:rPr>
                <w:rFonts w:ascii="Aptos" w:hAnsi="Aptos"/>
                <w:b w:val="0"/>
                <w:sz w:val="18"/>
              </w:rPr>
              <w:t>Ano, pokud konkrétní technologie není nezbytná pro funkci výslovně požadovanou uživatelem.</w:t>
            </w:r>
          </w:p>
        </w:tc>
      </w:tr>
      <w:tr>
        <w:tc>
          <w:tcPr>
            <w:tcW w:type="dxa" w:w="3389"/>
            <w:vAlign w:val="center"/>
            <w:tcMar>
              <w:top w:w="100" w:type="dxa"/>
              <w:start w:w="120" w:type="dxa"/>
              <w:bottom w:w="100" w:type="dxa"/>
              <w:end w:w="120" w:type="dxa"/>
            </w:tcMar>
          </w:tcPr>
          <w:p>
            <w:pPr>
              <w:spacing w:after="0" w:line="240" w:lineRule="auto"/>
            </w:pPr>
            <w:r>
              <w:rPr>
                <w:rFonts w:ascii="Aptos" w:hAnsi="Aptos"/>
                <w:b w:val="0"/>
                <w:sz w:val="18"/>
              </w:rPr>
              <w:t>Analytické / statistické</w:t>
            </w:r>
          </w:p>
        </w:tc>
        <w:tc>
          <w:tcPr>
            <w:tcW w:type="dxa" w:w="3389"/>
            <w:vAlign w:val="center"/>
            <w:tcMar>
              <w:top w:w="100" w:type="dxa"/>
              <w:start w:w="120" w:type="dxa"/>
              <w:bottom w:w="100" w:type="dxa"/>
              <w:end w:w="120" w:type="dxa"/>
            </w:tcMar>
          </w:tcPr>
          <w:p>
            <w:pPr>
              <w:spacing w:after="0" w:line="240" w:lineRule="auto"/>
            </w:pPr>
            <w:r>
              <w:rPr>
                <w:rFonts w:ascii="Aptos" w:hAnsi="Aptos"/>
                <w:b w:val="0"/>
                <w:sz w:val="18"/>
              </w:rPr>
              <w:t>Měření návštěvnosti, výkonu, zdrojů návštěv, chování na webu, chyb a úspěšnosti nákupního procesu.</w:t>
            </w:r>
          </w:p>
        </w:tc>
        <w:tc>
          <w:tcPr>
            <w:tcW w:type="dxa" w:w="3389"/>
            <w:vAlign w:val="center"/>
            <w:tcMar>
              <w:top w:w="100" w:type="dxa"/>
              <w:start w:w="120" w:type="dxa"/>
              <w:bottom w:w="100" w:type="dxa"/>
              <w:end w:w="120" w:type="dxa"/>
            </w:tcMar>
          </w:tcPr>
          <w:p>
            <w:pPr>
              <w:spacing w:after="0" w:line="240" w:lineRule="auto"/>
            </w:pPr>
            <w:r>
              <w:rPr>
                <w:rFonts w:ascii="Aptos" w:hAnsi="Aptos"/>
                <w:b w:val="0"/>
                <w:sz w:val="18"/>
              </w:rPr>
              <w:t>Ano.</w:t>
            </w:r>
          </w:p>
        </w:tc>
      </w:tr>
      <w:tr>
        <w:tc>
          <w:tcPr>
            <w:tcW w:type="dxa" w:w="3389"/>
            <w:vAlign w:val="center"/>
            <w:tcMar>
              <w:top w:w="100" w:type="dxa"/>
              <w:start w:w="120" w:type="dxa"/>
              <w:bottom w:w="100" w:type="dxa"/>
              <w:end w:w="120" w:type="dxa"/>
            </w:tcMar>
          </w:tcPr>
          <w:p>
            <w:pPr>
              <w:spacing w:after="0" w:line="240" w:lineRule="auto"/>
            </w:pPr>
            <w:r>
              <w:rPr>
                <w:rFonts w:ascii="Aptos" w:hAnsi="Aptos"/>
                <w:b w:val="0"/>
                <w:sz w:val="18"/>
              </w:rPr>
              <w:t>Marketingové / reklamní</w:t>
            </w:r>
          </w:p>
        </w:tc>
        <w:tc>
          <w:tcPr>
            <w:tcW w:type="dxa" w:w="3389"/>
            <w:vAlign w:val="center"/>
            <w:tcMar>
              <w:top w:w="100" w:type="dxa"/>
              <w:start w:w="120" w:type="dxa"/>
              <w:bottom w:w="100" w:type="dxa"/>
              <w:end w:w="120" w:type="dxa"/>
            </w:tcMar>
          </w:tcPr>
          <w:p>
            <w:pPr>
              <w:spacing w:after="0" w:line="240" w:lineRule="auto"/>
            </w:pPr>
            <w:r>
              <w:rPr>
                <w:rFonts w:ascii="Aptos" w:hAnsi="Aptos"/>
                <w:b w:val="0"/>
                <w:sz w:val="18"/>
              </w:rPr>
              <w:t>Měření konverzí, tvorba publik, cílení a personalizace reklamy, remarketing a propojování návštěv mezi weby a reklamními systémy.</w:t>
            </w:r>
          </w:p>
        </w:tc>
        <w:tc>
          <w:tcPr>
            <w:tcW w:type="dxa" w:w="3389"/>
            <w:vAlign w:val="center"/>
            <w:tcMar>
              <w:top w:w="100" w:type="dxa"/>
              <w:start w:w="120" w:type="dxa"/>
              <w:bottom w:w="100" w:type="dxa"/>
              <w:end w:w="120" w:type="dxa"/>
            </w:tcMar>
          </w:tcPr>
          <w:p>
            <w:pPr>
              <w:spacing w:after="0" w:line="240" w:lineRule="auto"/>
            </w:pPr>
            <w:r>
              <w:rPr>
                <w:rFonts w:ascii="Aptos" w:hAnsi="Aptos"/>
                <w:b w:val="0"/>
                <w:sz w:val="18"/>
              </w:rPr>
              <w:t>Ano.</w:t>
            </w:r>
          </w:p>
        </w:tc>
      </w:tr>
      <w:tr>
        <w:tc>
          <w:tcPr>
            <w:tcW w:type="dxa" w:w="3389"/>
            <w:vAlign w:val="center"/>
            <w:tcMar>
              <w:top w:w="100" w:type="dxa"/>
              <w:start w:w="120" w:type="dxa"/>
              <w:bottom w:w="100" w:type="dxa"/>
              <w:end w:w="120" w:type="dxa"/>
            </w:tcMar>
          </w:tcPr>
          <w:p>
            <w:pPr>
              <w:spacing w:after="0" w:line="240" w:lineRule="auto"/>
            </w:pPr>
            <w:r>
              <w:rPr>
                <w:rFonts w:ascii="Aptos" w:hAnsi="Aptos"/>
                <w:b w:val="0"/>
                <w:sz w:val="18"/>
              </w:rPr>
              <w:t>Externí obsah a média</w:t>
            </w:r>
          </w:p>
        </w:tc>
        <w:tc>
          <w:tcPr>
            <w:tcW w:type="dxa" w:w="3389"/>
            <w:vAlign w:val="center"/>
            <w:tcMar>
              <w:top w:w="100" w:type="dxa"/>
              <w:start w:w="120" w:type="dxa"/>
              <w:bottom w:w="100" w:type="dxa"/>
              <w:end w:w="120" w:type="dxa"/>
            </w:tcMar>
          </w:tcPr>
          <w:p>
            <w:pPr>
              <w:spacing w:after="0" w:line="240" w:lineRule="auto"/>
            </w:pPr>
            <w:r>
              <w:rPr>
                <w:rFonts w:ascii="Aptos" w:hAnsi="Aptos"/>
                <w:b w:val="0"/>
                <w:sz w:val="18"/>
              </w:rPr>
              <w:t>Vložené mapy, videa, sociální prvky, chaty nebo jiný obsah třetích stran, který může ukládat nebo číst informace v zařízení.</w:t>
            </w:r>
          </w:p>
        </w:tc>
        <w:tc>
          <w:tcPr>
            <w:tcW w:type="dxa" w:w="3389"/>
            <w:vAlign w:val="center"/>
            <w:tcMar>
              <w:top w:w="100" w:type="dxa"/>
              <w:start w:w="120" w:type="dxa"/>
              <w:bottom w:w="100" w:type="dxa"/>
              <w:end w:w="120" w:type="dxa"/>
            </w:tcMar>
          </w:tcPr>
          <w:p>
            <w:pPr>
              <w:spacing w:after="0" w:line="240" w:lineRule="auto"/>
            </w:pPr>
            <w:r>
              <w:rPr>
                <w:rFonts w:ascii="Aptos" w:hAnsi="Aptos"/>
                <w:b w:val="0"/>
                <w:sz w:val="18"/>
              </w:rPr>
              <w:t>Ano, není-li konkrétní prvek nezbytný pro službu výslovně požadovanou uživatelem.</w:t>
            </w:r>
          </w:p>
        </w:tc>
      </w:tr>
    </w:tbl>
    <w:p>
      <w:pPr>
        <w:pStyle w:val="Heading1"/>
        <w:keepNext/>
        <w:spacing w:before="140" w:after="60"/>
      </w:pPr>
      <w:r>
        <w:rPr>
          <w:rFonts w:ascii="Aptos" w:hAnsi="Aptos"/>
          <w:b/>
          <w:sz w:val="25"/>
        </w:rPr>
        <w:t>4. ÚČELY, ÚDAJE A PRÁVNÍ TITULY PODLE GDPR</w:t>
      </w:r>
    </w:p>
    <w:p>
      <w:pPr>
        <w:keepLines w:val="0"/>
        <w:spacing w:after="80" w:line="250" w:lineRule="auto"/>
      </w:pPr>
      <w:r>
        <w:rPr>
          <w:rFonts w:ascii="Aptos" w:hAnsi="Aptos"/>
          <w:sz w:val="20"/>
        </w:rPr>
        <w:t>4.1 Samotná výjimka nebo souhlas podle zákona o elektronických komunikacích řeší ukládání informací do zařízení a přístup k nim. Pokud jsou získané informace osobními údaji, musí mít správce zároveň odpovídající právní titul podle GDPR.</w:t>
      </w:r>
    </w:p>
    <w:p>
      <w:pPr>
        <w:keepLines w:val="0"/>
        <w:spacing w:after="80" w:line="250" w:lineRule="auto"/>
      </w:pPr>
      <w:r>
        <w:rPr>
          <w:rFonts w:ascii="Aptos" w:hAnsi="Aptos"/>
          <w:sz w:val="20"/>
        </w:rPr>
        <w:t>4.2 U nezbytných cookies může být právním titulem pro následné zpracování podle konkrétního účelu zejména plnění smlouvy nebo provedení opatření před jejím uzavřením podle čl. 6 odst. 1 písm. b) GDPR, splnění právní povinnosti podle čl. 6 odst. 1 písm. c) GDPR nebo oprávněný zájem správce podle čl. 6 odst. 1 písm. f) GDPR, zejména na bezpečném, spolehlivém a funkčním provozu webu. Právní titul se vždy posuzuje pro konkrétní účel; nelze jej určit paušálně pro všechny technické cookies. Pokud správce využívá oprávněný zájem, posuzuje jeho oprávněnost, nezbytnost zpracování a vyvážení vůči právům a zájmům subjektu údajů.</w:t>
      </w:r>
    </w:p>
    <w:p>
      <w:pPr>
        <w:keepLines w:val="0"/>
        <w:spacing w:after="80" w:line="250" w:lineRule="auto"/>
      </w:pPr>
      <w:r>
        <w:rPr>
          <w:rFonts w:ascii="Aptos" w:hAnsi="Aptos"/>
          <w:sz w:val="20"/>
        </w:rPr>
        <w:t>4.3 U analytických, marketingových, reklamních a jiných nepovinných cookies je ukládání informací do zařízení a přístup k nim podmíněn předchozím souhlasem návštěvníka. Je-li prostřednictvím těchto technologií zpracováván osobní údaj v návaznosti na udělený souhlas, je právním základem zpravidla čl. 6 odst. 1 písm. a) GDPR. Případné další zpracování pro odlišný účel se posuzuje samostatně podle GDPR a musí být transparentně popsáno.</w:t>
      </w:r>
    </w:p>
    <w:p>
      <w:pPr>
        <w:keepLines w:val="0"/>
        <w:spacing w:after="80" w:line="250" w:lineRule="auto"/>
      </w:pPr>
      <w:r>
        <w:rPr>
          <w:rFonts w:ascii="Aptos" w:hAnsi="Aptos"/>
          <w:sz w:val="20"/>
        </w:rPr>
        <w:t>4.4 Správce pro každý účel dodržuje zásady zákonnosti, korektnosti, transparentnosti, účelového omezení, minimalizace údajů, přesnosti, omezení uložení, zabezpečení a odpovědnosti.</w:t>
      </w:r>
    </w:p>
    <w:p>
      <w:pPr>
        <w:pStyle w:val="Heading1"/>
        <w:keepNext/>
        <w:spacing w:before="140" w:after="60"/>
      </w:pPr>
      <w:r>
        <w:rPr>
          <w:rFonts w:ascii="Aptos" w:hAnsi="Aptos"/>
          <w:b/>
          <w:sz w:val="25"/>
        </w:rPr>
        <w:t>5. ZÍSKÁNÍ A SPRÁVA SOUHLASU</w:t>
      </w:r>
    </w:p>
    <w:p>
      <w:pPr>
        <w:keepLines w:val="0"/>
        <w:spacing w:after="80" w:line="250" w:lineRule="auto"/>
      </w:pPr>
      <w:r>
        <w:rPr>
          <w:rFonts w:ascii="Aptos" w:hAnsi="Aptos"/>
          <w:sz w:val="20"/>
        </w:rPr>
        <w:t>5.1 Při první návštěvě nebo v případě významné změny zpracování se zobrazí cookie lišta nebo jiné rozhraní pro správu souhlasu. Návštěvník musí mít v první vrstvě srovnatelně zřetelnou možnost nepovinné cookies přijmout, odmítnout nebo otevřít jejich podrobné nastavení. Přijetí nesmí být vizuálně ani funkčně zvýhodněno způsobem, který by návštěvníka nepřiměřeně tlačil k udělení souhlasu.</w:t>
      </w:r>
    </w:p>
    <w:p>
      <w:pPr>
        <w:keepLines w:val="0"/>
        <w:spacing w:after="80" w:line="250" w:lineRule="auto"/>
      </w:pPr>
      <w:r>
        <w:rPr>
          <w:rFonts w:ascii="Aptos" w:hAnsi="Aptos"/>
          <w:sz w:val="20"/>
        </w:rPr>
        <w:t>5.2 Souhlas musí být svobodný, konkrétní, informovaný, jednoznačný a prokazatelný. Jednotlivé nepovinné kategorie nesmějí být předem aktivované. Správce musí být schopen doložit, kdy, v jakém rozsahu a pro jaké účely byl souhlas udělen. Za tímto účelem uchovává v přiměřeném rozsahu záznamy potřebné k doložení volby návštěvníka, zejména údaj o okamžiku provedení volby, jejím rozsahu a verzi nastavení souhlasu, ke které se volba vztahovala.</w:t>
      </w:r>
    </w:p>
    <w:p>
      <w:pPr>
        <w:keepLines w:val="0"/>
        <w:spacing w:after="80" w:line="250" w:lineRule="auto"/>
      </w:pPr>
      <w:r>
        <w:rPr>
          <w:rFonts w:ascii="Aptos" w:hAnsi="Aptos"/>
          <w:sz w:val="20"/>
        </w:rPr>
        <w:t>5.3 Návštěvník může souhlasit se všemi nepovinnými kategoriemi nebo učinit samostatnou volbu pro jednotlivé účely. Odmítnutí musí být stejně snadné jako přijetí a nesmí být znevýhodněno velikostí, barvou, umístěním ani počtem kroků. Pouhé procházení webu, jeho používání, zavření lišty nebo nečinnost nejsou souhlasem. Zavře-li návštěvník lištu bez provedení volby, nepovinné technologie se neaktivují. Souhlas s nepovinnými cookies není podmínkou běžného nákupu ani základního používání e-shopu.</w:t>
      </w:r>
    </w:p>
    <w:p>
      <w:pPr>
        <w:keepLines w:val="0"/>
        <w:spacing w:after="80" w:line="250" w:lineRule="auto"/>
      </w:pPr>
      <w:r>
        <w:rPr>
          <w:rFonts w:ascii="Aptos" w:hAnsi="Aptos"/>
          <w:sz w:val="20"/>
        </w:rPr>
        <w:t>5.4 Udělí-li návštěvník souhlas, může být jeho volba při nezměněných okolnostech uchována zpravidla nejvýše 12 měsíců. Po odmítnutí by neměl být návštěvník o stejný souhlas znovu žádán alespoň 6 měsíců od posledního zobrazení cookie lišty, ledaže se významně změnily okolnosti zpracování nebo správce nemůže předchozí volbu rozpoznat, například z důvodu vymazání cookies v zařízení návštěvníka.</w:t>
      </w:r>
    </w:p>
    <w:p>
      <w:pPr>
        <w:keepLines w:val="0"/>
        <w:spacing w:after="80" w:line="250" w:lineRule="auto"/>
      </w:pPr>
      <w:r>
        <w:rPr>
          <w:rFonts w:ascii="Aptos" w:hAnsi="Aptos"/>
          <w:sz w:val="20"/>
        </w:rPr>
        <w:t>5.5 Při významné změně účelů, poskytovatelů, kategorií, předávání do třetích zemí nebo jiných okolností, které mohou ovlivnit rozhodnutí návštěvníka, musí být vyžádán nový souhlas v potřebném rozsahu.</w:t>
      </w:r>
    </w:p>
    <w:p>
      <w:pPr>
        <w:pStyle w:val="Heading1"/>
        <w:keepNext/>
        <w:spacing w:before="140" w:after="60"/>
      </w:pPr>
      <w:r>
        <w:rPr>
          <w:rFonts w:ascii="Aptos" w:hAnsi="Aptos"/>
          <w:b/>
          <w:sz w:val="25"/>
        </w:rPr>
        <w:t>6. ODVOLÁNÍ SOUHLASU A ZMĚNA NASTAVENÍ</w:t>
      </w:r>
    </w:p>
    <w:p>
      <w:pPr>
        <w:keepLines w:val="0"/>
        <w:spacing w:after="80" w:line="250" w:lineRule="auto"/>
      </w:pPr>
      <w:r>
        <w:rPr>
          <w:rFonts w:ascii="Aptos" w:hAnsi="Aptos"/>
        </w:rPr>
        <w:t>6.1 Souhlas lze kdykoli odvolat nebo změnit prostřednictvím trvale dostupného odkazu „Nastavení cookies“, „Upravit nastavení cookies“ nebo obdobného stabilního a snadno dostupného prvku webu. Odvolání souhlasu musí být stejně snadné jako jeho udělení.</w:t>
      </w:r>
    </w:p>
    <w:p>
      <w:pPr>
        <w:keepLines w:val="0"/>
        <w:spacing w:after="80" w:line="250" w:lineRule="auto"/>
      </w:pPr>
      <w:r>
        <w:rPr>
          <w:rFonts w:ascii="Aptos" w:hAnsi="Aptos"/>
          <w:sz w:val="20"/>
        </w:rPr>
        <w:t>6.2 Odvoláním souhlasu není dotčena zákonnost zpracování založeného na souhlasu před jeho odvoláním. Po odvolání se nepovinné technologie deaktivují a správce je dále nepoužije pro účely založené na odvolaném souhlasu.</w:t>
      </w:r>
    </w:p>
    <w:p>
      <w:pPr>
        <w:keepLines w:val="0"/>
        <w:spacing w:after="80" w:line="250" w:lineRule="auto"/>
      </w:pPr>
      <w:r>
        <w:rPr>
          <w:rFonts w:ascii="Aptos" w:hAnsi="Aptos"/>
          <w:sz w:val="20"/>
        </w:rPr>
        <w:t>6.3 Návštěvník může cookies odstranit nebo omezit také v nastavení svého prohlížeče. Samotné nastavení prohlížeče však nenahrazuje povinnost správce získat platný souhlas, pokud je podle právních předpisů vyžadován. Zablokování nezbytných cookies může omezit funkce košíku, účtu nebo objednávkového procesu.</w:t>
      </w:r>
    </w:p>
    <w:p>
      <w:pPr>
        <w:pStyle w:val="Heading1"/>
        <w:keepNext/>
        <w:spacing w:before="140" w:after="60"/>
      </w:pPr>
      <w:r>
        <w:rPr>
          <w:rFonts w:ascii="Aptos" w:hAnsi="Aptos"/>
          <w:b/>
          <w:sz w:val="25"/>
        </w:rPr>
        <w:t>7. PŘÍJEMCI, POSKYTOVATELÉ A PŘEDÁVÁNÍ DO TŘETÍCH ZEMÍ</w:t>
      </w:r>
    </w:p>
    <w:p>
      <w:pPr>
        <w:keepLines w:val="0"/>
        <w:spacing w:after="40" w:line="240" w:lineRule="auto"/>
      </w:pPr>
      <w:r>
        <w:rPr>
          <w:rFonts w:ascii="Aptos" w:hAnsi="Aptos"/>
          <w:sz w:val="19"/>
        </w:rPr>
        <w:t>7.1 Provoz e-shopové platformy Eshop-rychle zajišťuje Golemos s.r.o., IČO 05208777, se sídlem Zátkovo nábřeží 448/7, 370 01 České Budějovice. Podle skutečně aktivovaných funkcí a integrací mohou údaje získané prostřednictvím cookies zpracovávat také další poskytovatelé technické správy, zabezpečení, analytiky, marketingu, reklamních systémů nebo vloženého obsahu. Jejich identita a role musí odpovídat aktuálnímu stavu webu a být návštěvníkovi dostupná v nastavení nebo registru cookies či v souvisejících zásadách zpracování osobních údajů.</w:t>
      </w:r>
    </w:p>
    <w:p>
      <w:pPr>
        <w:keepLines w:val="0"/>
        <w:spacing w:after="80" w:line="250" w:lineRule="auto"/>
      </w:pPr>
      <w:r>
        <w:rPr>
          <w:rFonts w:ascii="Aptos" w:hAnsi="Aptos"/>
          <w:sz w:val="20"/>
        </w:rPr>
        <w:t>7.2 Někteří poskytovatelé mohou vystupovat jako zpracovatelé, samostatní správci nebo společní správci. Správce zajišťuje odpovídající smluvní, technické a organizační podmínky podle skutečné role konkrétního poskytovatele a poskytuje návštěvníkovi informace vyžadované právními předpisy.</w:t>
      </w:r>
    </w:p>
    <w:p>
      <w:pPr>
        <w:keepLines w:val="0"/>
        <w:spacing w:after="80" w:line="250" w:lineRule="auto"/>
      </w:pPr>
      <w:r>
        <w:rPr>
          <w:rFonts w:ascii="Aptos" w:hAnsi="Aptos"/>
          <w:sz w:val="20"/>
        </w:rPr>
        <w:t>7.3 Dochází-li v souvislosti s konkrétní technologií k předávání osobních údajů mimo Evropský hospodářský prostor (EHP), správce zajistí odpovídající právní mechanismus podle kapitoly V GDPR. Podle konkrétního příjemce může být předání založeno zejména na rozhodnutí Evropské komise o odpovídající úrovni ochrany podle čl. 45 GDPR, na platné certifikaci amerického příjemce v rámci EU–U.S. Data Privacy Framework, na standardních smluvních doložkách Evropské komise podle čl. 46 GDPR nebo na jiném mechanismu předvídaném GDPR. Informace o konkrétním příjemci, zemi předání a použitém mechanismu musí odpovídat skutečně používaným službám.</w:t>
      </w:r>
    </w:p>
    <w:p>
      <w:pPr>
        <w:pStyle w:val="Heading1"/>
        <w:keepNext/>
        <w:spacing w:before="140" w:after="60"/>
      </w:pPr>
      <w:r>
        <w:rPr>
          <w:rFonts w:ascii="Aptos" w:hAnsi="Aptos"/>
          <w:b/>
          <w:sz w:val="25"/>
        </w:rPr>
        <w:t>8. DOBA ULOŽENÍ A AKTUÁLNÍ REGISTR COOKIES</w:t>
      </w:r>
    </w:p>
    <w:p>
      <w:pPr>
        <w:keepLines w:val="0"/>
        <w:spacing w:after="80" w:line="250" w:lineRule="auto"/>
      </w:pPr>
      <w:r>
        <w:rPr>
          <w:rFonts w:ascii="Aptos" w:hAnsi="Aptos"/>
          <w:sz w:val="20"/>
        </w:rPr>
        <w:t>8.1 Doba uložení jednotlivých cookies musí odpovídat jejich účelu a zásadě omezení uložení. Relační cookies se zpravidla odstraní po ukončení relace; trvalé cookies zůstávají pouze po dobu uvedenou v aktuálním registru cookies nebo do jejich odstranění uživatelem.</w:t>
      </w:r>
    </w:p>
    <w:p>
      <w:pPr>
        <w:keepLines w:val="0"/>
        <w:spacing w:after="80" w:line="250" w:lineRule="auto"/>
      </w:pPr>
      <w:r>
        <w:rPr>
          <w:rFonts w:ascii="Aptos" w:hAnsi="Aptos"/>
          <w:sz w:val="20"/>
        </w:rPr>
        <w:t>8.2 U skutečně používaných cookies a obdobných technologií správce návštěvníkovi zpřístupňuje v přiměřené podobě zejména název technologie, poskytovatele nebo doménu, kategorii, účel, dobu uložení nebo expiraci a informaci, zda je vyžadován souhlas. Uvádí také, zda jde o technologii první nebo třetí strany. Dochází-li prostřednictvím dané technologie ke zpracování osobních údajů, uvede odpovídajícího příjemce nebo kategorii příjemců, roli poskytovatele a právní titul zpracování. Dochází-li k předávání osobních údajů mimo EHP, uvede rovněž zemi příjemce a použitý mechanismus podle kapitoly V GDPR.</w:t>
      </w:r>
    </w:p>
    <w:p>
      <w:pPr>
        <w:keepLines w:val="0"/>
        <w:spacing w:after="80" w:line="250" w:lineRule="auto"/>
      </w:pPr>
      <w:r>
        <w:rPr>
          <w:rFonts w:ascii="Aptos" w:hAnsi="Aptos"/>
        </w:rPr>
        <w:t>8.3 Správce registr cookies pravidelně kontroluje a aktualizuje zejména po změně doplňku, integrace, analytického či reklamního nástroje, šablony, externího obsahu nebo poskytovatele. Aktuální registr je návštěvníkovi zpřístupněn prostřednictvím rozhraní pro správu cookies na www.leon.cz. Dokument, cookie lišta a registr musí odpovídat skutečnému chování produkčního webu.</w:t>
      </w:r>
    </w:p>
    <w:p>
      <w:pPr>
        <w:pStyle w:val="Heading1"/>
        <w:keepNext/>
        <w:spacing w:before="140" w:after="60"/>
      </w:pPr>
      <w:r>
        <w:rPr>
          <w:rFonts w:ascii="Aptos" w:hAnsi="Aptos"/>
          <w:b/>
          <w:sz w:val="25"/>
        </w:rPr>
        <w:t>9. PRÁVA NÁVŠTĚVNÍKA JAKO SUBJEKTU ÚDAJŮ</w:t>
      </w:r>
    </w:p>
    <w:tbl>
      <w:tblPr>
        <w:tblW w:type="auto" w:w="0"/>
        <w:jc w:val="center"/>
        <w:tblLayout w:type="fixed"/>
        <w:tblLook w:firstColumn="1" w:firstRow="1" w:lastColumn="0" w:lastRow="0" w:noHBand="0" w:noVBand="1" w:val="04A0"/>
      </w:tblPr>
      <w:tblGrid>
        <w:gridCol w:w="3096"/>
        <w:gridCol w:w="6696"/>
      </w:tblGrid>
      <w:tr>
        <w:trPr>
          <w:tblHeader w:val="true"/>
          <w:cantSplit/>
        </w:trPr>
        <w:tc>
          <w:tcPr>
            <w:tcW w:type="dxa" w:w="5083"/>
            <w:vAlign w:val="center"/>
            <w:tcMar>
              <w:top w:w="100" w:type="dxa"/>
              <w:start w:w="120" w:type="dxa"/>
              <w:bottom w:w="100" w:type="dxa"/>
              <w:end w:w="120" w:type="dxa"/>
            </w:tcMar>
            <w:shd w:fill="D9DEE5"/>
          </w:tcPr>
          <w:p>
            <w:pPr>
              <w:spacing w:after="20" w:line="240" w:lineRule="auto"/>
            </w:pPr>
            <w:r>
              <w:rPr>
                <w:rFonts w:ascii="Aptos" w:hAnsi="Aptos"/>
                <w:b/>
                <w:sz w:val="18"/>
              </w:rPr>
              <w:t>Právo</w:t>
            </w:r>
          </w:p>
        </w:tc>
        <w:tc>
          <w:tcPr>
            <w:tcW w:type="dxa" w:w="5083"/>
            <w:vAlign w:val="center"/>
            <w:tcMar>
              <w:top w:w="100" w:type="dxa"/>
              <w:start w:w="120" w:type="dxa"/>
              <w:bottom w:w="100" w:type="dxa"/>
              <w:end w:w="120" w:type="dxa"/>
            </w:tcMar>
            <w:shd w:fill="D9DEE5"/>
          </w:tcPr>
          <w:p>
            <w:pPr>
              <w:spacing w:after="20" w:line="240" w:lineRule="auto"/>
            </w:pPr>
            <w:r>
              <w:rPr>
                <w:rFonts w:ascii="Aptos" w:hAnsi="Aptos"/>
                <w:b/>
                <w:sz w:val="18"/>
              </w:rPr>
              <w:t>Obsah</w:t>
            </w:r>
          </w:p>
        </w:tc>
      </w:tr>
      <w:tr>
        <w:trPr>
          <w:cantSplit/>
        </w:trPr>
        <w:tc>
          <w:tcPr>
            <w:tcW w:type="dxa" w:w="5083"/>
            <w:vAlign w:val="center"/>
            <w:tcMar>
              <w:top w:w="100" w:type="dxa"/>
              <w:start w:w="120" w:type="dxa"/>
              <w:bottom w:w="100" w:type="dxa"/>
              <w:end w:w="120" w:type="dxa"/>
            </w:tcMar>
          </w:tcPr>
          <w:p>
            <w:pPr>
              <w:spacing w:after="20" w:line="240" w:lineRule="auto"/>
            </w:pPr>
            <w:r>
              <w:rPr>
                <w:rFonts w:ascii="Aptos" w:hAnsi="Aptos"/>
                <w:b w:val="0"/>
                <w:sz w:val="18"/>
              </w:rPr>
              <w:t>Přístup (čl. 15 GDPR)</w:t>
            </w:r>
          </w:p>
        </w:tc>
        <w:tc>
          <w:tcPr>
            <w:tcW w:type="dxa" w:w="5083"/>
            <w:vAlign w:val="center"/>
            <w:tcMar>
              <w:top w:w="100" w:type="dxa"/>
              <w:start w:w="120" w:type="dxa"/>
              <w:bottom w:w="100" w:type="dxa"/>
              <w:end w:w="120" w:type="dxa"/>
            </w:tcMar>
          </w:tcPr>
          <w:p>
            <w:pPr>
              <w:spacing w:after="20" w:line="240" w:lineRule="auto"/>
            </w:pPr>
            <w:r>
              <w:rPr>
                <w:rFonts w:ascii="Aptos" w:hAnsi="Aptos"/>
                <w:b w:val="0"/>
                <w:sz w:val="18"/>
              </w:rPr>
              <w:t>Právo získat potvrzení, zda jsou osobní údaje zpracovávány, a získat informace nebo kopii údajů v rozsahu GDPR.</w:t>
            </w:r>
          </w:p>
        </w:tc>
      </w:tr>
      <w:tr>
        <w:trPr>
          <w:cantSplit/>
        </w:trPr>
        <w:tc>
          <w:tcPr>
            <w:tcW w:type="dxa" w:w="5083"/>
            <w:vAlign w:val="center"/>
            <w:tcMar>
              <w:top w:w="100" w:type="dxa"/>
              <w:start w:w="120" w:type="dxa"/>
              <w:bottom w:w="100" w:type="dxa"/>
              <w:end w:w="120" w:type="dxa"/>
            </w:tcMar>
          </w:tcPr>
          <w:p>
            <w:pPr>
              <w:spacing w:after="20" w:line="240" w:lineRule="auto"/>
            </w:pPr>
            <w:r>
              <w:rPr>
                <w:rFonts w:ascii="Aptos" w:hAnsi="Aptos"/>
                <w:b w:val="0"/>
                <w:sz w:val="18"/>
              </w:rPr>
              <w:t>Oprava (čl. 16 GDPR)</w:t>
            </w:r>
          </w:p>
        </w:tc>
        <w:tc>
          <w:tcPr>
            <w:tcW w:type="dxa" w:w="5083"/>
            <w:vAlign w:val="center"/>
            <w:tcMar>
              <w:top w:w="100" w:type="dxa"/>
              <w:start w:w="120" w:type="dxa"/>
              <w:bottom w:w="100" w:type="dxa"/>
              <w:end w:w="120" w:type="dxa"/>
            </w:tcMar>
          </w:tcPr>
          <w:p>
            <w:pPr>
              <w:spacing w:after="20" w:line="240" w:lineRule="auto"/>
            </w:pPr>
            <w:r>
              <w:rPr>
                <w:rFonts w:ascii="Aptos" w:hAnsi="Aptos"/>
                <w:b w:val="0"/>
                <w:sz w:val="18"/>
              </w:rPr>
              <w:t>Právo požadovat opravu nepřesných a doplnění neúplných osobních údajů.</w:t>
            </w:r>
          </w:p>
        </w:tc>
      </w:tr>
      <w:tr>
        <w:trPr>
          <w:cantSplit/>
        </w:trPr>
        <w:tc>
          <w:tcPr>
            <w:tcW w:type="dxa" w:w="5083"/>
            <w:vAlign w:val="center"/>
            <w:tcMar>
              <w:top w:w="100" w:type="dxa"/>
              <w:start w:w="120" w:type="dxa"/>
              <w:bottom w:w="100" w:type="dxa"/>
              <w:end w:w="120" w:type="dxa"/>
            </w:tcMar>
          </w:tcPr>
          <w:p>
            <w:pPr>
              <w:spacing w:after="20" w:line="240" w:lineRule="auto"/>
            </w:pPr>
            <w:r>
              <w:rPr>
                <w:rFonts w:ascii="Aptos" w:hAnsi="Aptos"/>
                <w:b w:val="0"/>
                <w:sz w:val="18"/>
              </w:rPr>
              <w:t>Výmaz (čl. 17 GDPR)</w:t>
            </w:r>
          </w:p>
        </w:tc>
        <w:tc>
          <w:tcPr>
            <w:tcW w:type="dxa" w:w="5083"/>
            <w:vAlign w:val="center"/>
            <w:tcMar>
              <w:top w:w="100" w:type="dxa"/>
              <w:start w:w="120" w:type="dxa"/>
              <w:bottom w:w="100" w:type="dxa"/>
              <w:end w:w="120" w:type="dxa"/>
            </w:tcMar>
          </w:tcPr>
          <w:p>
            <w:pPr>
              <w:spacing w:after="20" w:line="240" w:lineRule="auto"/>
            </w:pPr>
            <w:r>
              <w:rPr>
                <w:rFonts w:ascii="Aptos" w:hAnsi="Aptos"/>
                <w:b w:val="0"/>
                <w:sz w:val="18"/>
              </w:rPr>
              <w:t>Právo požadovat výmaz osobních údajů, jsou-li splněny podmínky GDPR.</w:t>
            </w:r>
          </w:p>
        </w:tc>
      </w:tr>
      <w:tr>
        <w:trPr>
          <w:cantSplit/>
        </w:trPr>
        <w:tc>
          <w:tcPr>
            <w:tcW w:type="dxa" w:w="5083"/>
            <w:vAlign w:val="center"/>
            <w:tcMar>
              <w:top w:w="100" w:type="dxa"/>
              <w:start w:w="120" w:type="dxa"/>
              <w:bottom w:w="100" w:type="dxa"/>
              <w:end w:w="120" w:type="dxa"/>
            </w:tcMar>
          </w:tcPr>
          <w:p>
            <w:pPr>
              <w:spacing w:after="20" w:line="240" w:lineRule="auto"/>
            </w:pPr>
            <w:r>
              <w:rPr>
                <w:rFonts w:ascii="Aptos" w:hAnsi="Aptos"/>
                <w:b w:val="0"/>
                <w:sz w:val="18"/>
              </w:rPr>
              <w:t>Omezení zpracování (čl. 18 GDPR)</w:t>
            </w:r>
          </w:p>
        </w:tc>
        <w:tc>
          <w:tcPr>
            <w:tcW w:type="dxa" w:w="5083"/>
            <w:vAlign w:val="center"/>
            <w:tcMar>
              <w:top w:w="100" w:type="dxa"/>
              <w:start w:w="120" w:type="dxa"/>
              <w:bottom w:w="100" w:type="dxa"/>
              <w:end w:w="120" w:type="dxa"/>
            </w:tcMar>
          </w:tcPr>
          <w:p>
            <w:pPr>
              <w:spacing w:after="20" w:line="240" w:lineRule="auto"/>
            </w:pPr>
            <w:r>
              <w:rPr>
                <w:rFonts w:ascii="Aptos" w:hAnsi="Aptos"/>
                <w:b w:val="0"/>
                <w:sz w:val="18"/>
              </w:rPr>
              <w:t>Právo požadovat omezení zpracování v případech stanovených GDPR.</w:t>
            </w:r>
          </w:p>
        </w:tc>
      </w:tr>
      <w:tr>
        <w:trPr>
          <w:cantSplit/>
        </w:trPr>
        <w:tc>
          <w:tcPr>
            <w:tcW w:type="dxa" w:w="5083"/>
            <w:vAlign w:val="center"/>
            <w:tcMar>
              <w:top w:w="100" w:type="dxa"/>
              <w:start w:w="120" w:type="dxa"/>
              <w:bottom w:w="100" w:type="dxa"/>
              <w:end w:w="120" w:type="dxa"/>
            </w:tcMar>
          </w:tcPr>
          <w:p>
            <w:pPr>
              <w:spacing w:after="20" w:line="240" w:lineRule="auto"/>
            </w:pPr>
            <w:r>
              <w:rPr>
                <w:rFonts w:ascii="Aptos" w:hAnsi="Aptos"/>
                <w:b w:val="0"/>
                <w:sz w:val="18"/>
              </w:rPr>
              <w:t>Přenositelnost (čl. 20 GDPR)</w:t>
            </w:r>
          </w:p>
        </w:tc>
        <w:tc>
          <w:tcPr>
            <w:tcW w:type="dxa" w:w="5083"/>
            <w:vAlign w:val="center"/>
            <w:tcMar>
              <w:top w:w="100" w:type="dxa"/>
              <w:start w:w="120" w:type="dxa"/>
              <w:bottom w:w="100" w:type="dxa"/>
              <w:end w:w="120" w:type="dxa"/>
            </w:tcMar>
          </w:tcPr>
          <w:p>
            <w:pPr>
              <w:spacing w:after="20" w:line="240" w:lineRule="auto"/>
            </w:pPr>
            <w:r>
              <w:rPr>
                <w:rFonts w:ascii="Aptos" w:hAnsi="Aptos"/>
                <w:b w:val="0"/>
                <w:sz w:val="18"/>
              </w:rPr>
              <w:t>Právo získat a předat údaje, pokud je zpracování založeno na souhlasu nebo smlouvě a probíhá automatizovaně, jsou-li splněny další podmínky GDPR.</w:t>
            </w:r>
          </w:p>
        </w:tc>
      </w:tr>
      <w:tr>
        <w:trPr>
          <w:cantSplit/>
        </w:trPr>
        <w:tc>
          <w:tcPr>
            <w:tcW w:type="dxa" w:w="5083"/>
            <w:vAlign w:val="center"/>
            <w:tcMar>
              <w:top w:w="100" w:type="dxa"/>
              <w:start w:w="120" w:type="dxa"/>
              <w:bottom w:w="100" w:type="dxa"/>
              <w:end w:w="120" w:type="dxa"/>
            </w:tcMar>
          </w:tcPr>
          <w:p>
            <w:pPr>
              <w:spacing w:after="20" w:line="240" w:lineRule="auto"/>
            </w:pPr>
            <w:r>
              <w:rPr>
                <w:rFonts w:ascii="Aptos" w:hAnsi="Aptos"/>
                <w:b w:val="0"/>
                <w:sz w:val="18"/>
              </w:rPr>
              <w:t>Námitka (čl. 21 GDPR)</w:t>
            </w:r>
          </w:p>
        </w:tc>
        <w:tc>
          <w:tcPr>
            <w:tcW w:type="dxa" w:w="5083"/>
            <w:vAlign w:val="center"/>
            <w:tcMar>
              <w:top w:w="100" w:type="dxa"/>
              <w:start w:w="120" w:type="dxa"/>
              <w:bottom w:w="100" w:type="dxa"/>
              <w:end w:w="120" w:type="dxa"/>
            </w:tcMar>
          </w:tcPr>
          <w:p>
            <w:pPr>
              <w:spacing w:after="20" w:line="240" w:lineRule="auto"/>
            </w:pPr>
            <w:r>
              <w:rPr>
                <w:rFonts w:ascii="Aptos" w:hAnsi="Aptos"/>
                <w:b w:val="0"/>
                <w:sz w:val="18"/>
              </w:rPr>
              <w:t>Právo vznést námitku proti zpracování založenému na oprávněném zájmu. Jsou-li osobní údaje zpracovávány pro účely přímého marketingu, po námitce se pro tento účel dále nezpracovávají.</w:t>
            </w:r>
          </w:p>
        </w:tc>
      </w:tr>
      <w:tr>
        <w:trPr>
          <w:cantSplit/>
        </w:trPr>
        <w:tc>
          <w:tcPr>
            <w:tcW w:type="dxa" w:w="5083"/>
            <w:vAlign w:val="center"/>
            <w:tcMar>
              <w:top w:w="100" w:type="dxa"/>
              <w:start w:w="120" w:type="dxa"/>
              <w:bottom w:w="100" w:type="dxa"/>
              <w:end w:w="120" w:type="dxa"/>
            </w:tcMar>
          </w:tcPr>
          <w:p>
            <w:pPr>
              <w:spacing w:after="20" w:line="240" w:lineRule="auto"/>
            </w:pPr>
            <w:r>
              <w:rPr>
                <w:rFonts w:ascii="Aptos" w:hAnsi="Aptos"/>
                <w:b w:val="0"/>
                <w:sz w:val="18"/>
              </w:rPr>
              <w:t>Odvolání souhlasu (čl. 7 odst. 3 GDPR)</w:t>
            </w:r>
          </w:p>
        </w:tc>
        <w:tc>
          <w:tcPr>
            <w:tcW w:type="dxa" w:w="5083"/>
            <w:vAlign w:val="center"/>
            <w:tcMar>
              <w:top w:w="100" w:type="dxa"/>
              <w:start w:w="120" w:type="dxa"/>
              <w:bottom w:w="100" w:type="dxa"/>
              <w:end w:w="120" w:type="dxa"/>
            </w:tcMar>
          </w:tcPr>
          <w:p>
            <w:pPr>
              <w:spacing w:after="20" w:line="240" w:lineRule="auto"/>
            </w:pPr>
            <w:r>
              <w:rPr>
                <w:rFonts w:ascii="Aptos" w:hAnsi="Aptos"/>
                <w:b w:val="0"/>
                <w:sz w:val="18"/>
              </w:rPr>
              <w:t>Právo kdykoli odvolat souhlas bez vlivu na zákonnost zpracování před jeho odvoláním.</w:t>
            </w:r>
          </w:p>
        </w:tc>
      </w:tr>
      <w:tr>
        <w:trPr>
          <w:cantSplit/>
        </w:trPr>
        <w:tc>
          <w:tcPr>
            <w:tcW w:type="dxa" w:w="5083"/>
            <w:vAlign w:val="center"/>
            <w:tcMar>
              <w:top w:w="100" w:type="dxa"/>
              <w:start w:w="120" w:type="dxa"/>
              <w:bottom w:w="100" w:type="dxa"/>
              <w:end w:w="120" w:type="dxa"/>
            </w:tcMar>
          </w:tcPr>
          <w:p>
            <w:pPr>
              <w:spacing w:after="20" w:line="240" w:lineRule="auto"/>
            </w:pPr>
            <w:r>
              <w:rPr>
                <w:rFonts w:ascii="Aptos" w:hAnsi="Aptos"/>
                <w:b w:val="0"/>
                <w:sz w:val="18"/>
              </w:rPr>
              <w:t>Stížnost (čl. 77 GDPR)</w:t>
            </w:r>
          </w:p>
        </w:tc>
        <w:tc>
          <w:tcPr>
            <w:tcW w:type="dxa" w:w="5083"/>
            <w:vAlign w:val="center"/>
            <w:tcMar>
              <w:top w:w="100" w:type="dxa"/>
              <w:start w:w="120" w:type="dxa"/>
              <w:bottom w:w="100" w:type="dxa"/>
              <w:end w:w="120" w:type="dxa"/>
            </w:tcMar>
          </w:tcPr>
          <w:p>
            <w:pPr>
              <w:spacing w:after="20" w:line="240" w:lineRule="auto"/>
            </w:pPr>
            <w:r>
              <w:rPr>
                <w:rFonts w:ascii="Aptos" w:hAnsi="Aptos"/>
                <w:b w:val="0"/>
                <w:sz w:val="18"/>
              </w:rPr>
              <w:t>Právo podat stížnost u Úřadu pro ochranu osobních údajů.</w:t>
            </w:r>
          </w:p>
        </w:tc>
      </w:tr>
    </w:tbl>
    <w:p>
      <w:pPr>
        <w:keepLines w:val="0"/>
        <w:spacing w:after="40" w:line="240" w:lineRule="auto"/>
      </w:pPr>
      <w:r>
        <w:rPr>
          <w:rFonts w:ascii="Aptos" w:hAnsi="Aptos"/>
          <w:sz w:val="19"/>
        </w:rPr>
        <w:t>9.1 Práva lze uplatnit na e-mailové adrese obchod@leon.cz nebo písemně na adrese Josef Pačes, Hrdličkova 2176/4, 148 00 Praha 4. Správce může v přiměřeném rozsahu ověřit totožnost žadatele, je-li to nezbytné k ochraně osobních údajů. Správce poskytne informace o přijatých opatřeních bez zbytečného odkladu, nejpozději do jednoho měsíce od obdržení žádosti. S ohledem na složitost a počet žádostí lze tuto lhůtu v případech stanovených GDPR prodloužit o další dva měsíce; o prodloužení a jeho důvodech správce žadatele včas informuje.</w:t>
      </w:r>
    </w:p>
    <w:p>
      <w:pPr>
        <w:keepLines w:val="0"/>
        <w:spacing w:after="40" w:line="240" w:lineRule="auto"/>
      </w:pPr>
      <w:r>
        <w:rPr>
          <w:rFonts w:ascii="Aptos" w:hAnsi="Aptos"/>
          <w:sz w:val="19"/>
        </w:rPr>
        <w:t>9.2 Dozorovým orgánem je Úřad pro ochranu osobních údajů, Pplk. Sochora 27, 170 00 Praha 7, www.uoou.gov.cz, datová schránka: qkbaa2n.</w:t>
      </w:r>
    </w:p>
    <w:p>
      <w:pPr>
        <w:keepLines w:val="0"/>
        <w:spacing w:after="40" w:line="240" w:lineRule="auto"/>
      </w:pPr>
      <w:r>
        <w:rPr>
          <w:rFonts w:ascii="Aptos" w:hAnsi="Aptos"/>
          <w:sz w:val="19"/>
        </w:rPr>
        <w:t>9.3 Další podrobnosti o zpracování osobních údajů jsou uvedeny v právních dokumentech e-shopu na www.leon.cz. Informace vztahující se ke cookies musí odpovídat aktuálnímu nastavení cookie lišty a skutečně používaným technologiím.</w:t>
      </w:r>
    </w:p>
    <w:p>
      <w:pPr>
        <w:pStyle w:val="Heading1"/>
        <w:keepNext/>
        <w:spacing w:before="60" w:after="40"/>
      </w:pPr>
      <w:r>
        <w:rPr>
          <w:rFonts w:ascii="Aptos" w:hAnsi="Aptos"/>
          <w:b/>
          <w:sz w:val="25"/>
        </w:rPr>
        <w:t>10. ZABEZPEČENÍ A ODPOVĚDNOST</w:t>
      </w:r>
    </w:p>
    <w:p>
      <w:pPr>
        <w:keepLines w:val="0"/>
        <w:spacing w:after="40" w:line="240" w:lineRule="auto"/>
      </w:pPr>
      <w:r>
        <w:rPr>
          <w:rFonts w:ascii="Aptos" w:hAnsi="Aptos"/>
          <w:sz w:val="19"/>
        </w:rPr>
        <w:t>10.1 Správce přijímá přiměřená technická a organizační opatření k ochraně údajů získaných prostřednictvím cookies, zejména omezení přístupu, správu oprávnění, zabezpečení přenosu a pravidelnou kontrolu použitých nástrojů, integrací a poskytovatelů.</w:t>
      </w:r>
    </w:p>
    <w:p>
      <w:pPr>
        <w:keepLines w:val="0"/>
        <w:spacing w:after="40" w:line="240" w:lineRule="auto"/>
      </w:pPr>
      <w:r>
        <w:rPr>
          <w:rFonts w:ascii="Aptos" w:hAnsi="Aptos"/>
          <w:sz w:val="19"/>
        </w:rPr>
        <w:t>10.2 Správce odpovídá za to, že skutečné chování webu odpovídá tomuto dokumentu, nastavení cookie lišty a záznamům o souhlasu. Samotné zveřejnění dokumentu nenahrazuje technické blokování nepovinných cookies před udělením souhlasu. Po technických změnách webu správce ověřuje jejich blokování a možnost souhlas stejně snadno změnit nebo odvolat; stejné pravidlo platí pro vlastní kódy, doplňky a integrace platformy Eshop-rychle.</w:t>
      </w:r>
    </w:p>
    <w:p>
      <w:pPr>
        <w:pStyle w:val="Heading1"/>
        <w:keepNext/>
        <w:spacing w:before="60" w:after="40"/>
      </w:pPr>
      <w:r>
        <w:rPr>
          <w:rFonts w:ascii="Aptos" w:hAnsi="Aptos"/>
          <w:b/>
          <w:sz w:val="25"/>
        </w:rPr>
        <w:t>11. ZMĚNY DOKUMENTU</w:t>
      </w:r>
    </w:p>
    <w:p>
      <w:pPr>
        <w:keepLines w:val="0"/>
        <w:spacing w:after="40" w:line="240" w:lineRule="auto"/>
      </w:pPr>
      <w:r>
        <w:rPr>
          <w:rFonts w:ascii="Aptos" w:hAnsi="Aptos"/>
          <w:sz w:val="19"/>
        </w:rPr>
        <w:t>11.1 Tento dokument může být aktualizován zejména při změně právních předpisů, doporučení dozorových orgánů, nastavení platformy Eshop-rychle, používaných technologií, integrací, poskytovatelů nebo účelů zpracování. Aktuální znění bude zveřejněno na www.leon.cz.</w:t>
      </w:r>
    </w:p>
    <w:p>
      <w:pPr>
        <w:keepLines w:val="0"/>
        <w:spacing w:after="40" w:line="240" w:lineRule="auto"/>
      </w:pPr>
      <w:r>
        <w:rPr>
          <w:rFonts w:ascii="Aptos" w:hAnsi="Aptos"/>
          <w:sz w:val="19"/>
        </w:rPr>
        <w:t>11.2 Dojde-li ke změně, která ovlivňuje dříve udělený souhlas, správce požádá návštěvníka o nový souhlas v odpovídajícím rozsahu. Pouhá technická nebo formální změna bez změny účelu či podmínek zpracování nemusí sama o sobě vyžadovat nový souhlas; související informace však musí být průběžně aktualizovány.</w:t>
      </w:r>
    </w:p>
    <w:p>
      <w:pPr>
        <w:pStyle w:val="Heading1"/>
        <w:keepNext/>
        <w:spacing w:before="60" w:after="40"/>
      </w:pPr>
      <w:r>
        <w:rPr>
          <w:rFonts w:ascii="Aptos" w:hAnsi="Aptos"/>
          <w:b/>
          <w:sz w:val="25"/>
        </w:rPr>
        <w:t>12. KONTAKT A ÚČINNOST</w:t>
      </w:r>
    </w:p>
    <w:p>
      <w:pPr>
        <w:keepLines w:val="0"/>
        <w:spacing w:after="40" w:line="240" w:lineRule="auto"/>
      </w:pPr>
      <w:r>
        <w:rPr>
          <w:rFonts w:ascii="Aptos" w:hAnsi="Aptos"/>
          <w:sz w:val="19"/>
        </w:rPr>
        <w:t>12.1 Dotazy k používání cookies nebo ke zpracování osobních údajů lze zasílat na obchod@leon.cz nebo na adresu Josef Pačes, Hrdličkova 2176/4, 148 00 Praha 4.</w:t>
      </w:r>
    </w:p>
    <w:p>
      <w:pPr>
        <w:keepLines w:val="0"/>
        <w:spacing w:after="40" w:line="240" w:lineRule="auto" w:before="0"/>
      </w:pPr>
      <w:r>
        <w:rPr>
          <w:rFonts w:ascii="Aptos" w:hAnsi="Aptos"/>
          <w:sz w:val="19"/>
        </w:rPr>
        <w:t>12.2 Tento dokument je ve verzi 1.1 platný a účinný od 31. 8. 2026.</w:t>
      </w:r>
    </w:p>
    <w:sectPr w:rsidR="00FC693F" w:rsidRPr="0006063C" w:rsidSect="00034616">
      <w:footerReference w:type="default" r:id="rId9"/>
      <w:head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Pr>
    <w:r>
      <w:t>Nakladatelství Leon / Josef Pačes • www.leon.cz • Informace o cookies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5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0"/>
      <w:outlineLvl w:val="0"/>
    </w:pPr>
    <w:rPr>
      <w:rFonts w:asciiTheme="majorHAnsi" w:eastAsiaTheme="majorEastAsia" w:hAnsiTheme="majorHAnsi" w:cstheme="majorBidi" w:ascii="Aptos" w:hAnsi="Aptos"/>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Informace o souborech cookies a obdobných technologiích - Nakladatelství Leon / Josef Pačes</dc:title>
  <dc:subject>Informace o cookies pro www.leon.cz</dc:subject>
  <dc:creator/>
  <cp:keywords>cookies, GDPR, DreveneMece.cz, Jiří Havlis</cp:keywords>
  <dc:description/>
  <cp:lastModifiedBy/>
  <cp:revision>1</cp:revision>
  <dcterms:created xsi:type="dcterms:W3CDTF">2013-12-23T23:15:00Z</dcterms:created>
  <dcterms:modified xsi:type="dcterms:W3CDTF">2013-12-23T23:15:00Z</dcterms:modified>
  <cp:category/>
</cp:coreProperties>
</file>